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5CC" w:rsidRDefault="000F75CC" w:rsidP="00305547">
      <w:pPr>
        <w:jc w:val="center"/>
        <w:rPr>
          <w:b/>
        </w:rPr>
      </w:pPr>
      <w:bookmarkStart w:id="0" w:name="_GoBack"/>
      <w:bookmarkEnd w:id="0"/>
    </w:p>
    <w:p w:rsidR="00FF30FC" w:rsidRPr="00FD2F3A" w:rsidRDefault="00305547" w:rsidP="00305547">
      <w:pPr>
        <w:jc w:val="center"/>
        <w:rPr>
          <w:b/>
        </w:rPr>
      </w:pPr>
      <w:r w:rsidRPr="00FD2F3A">
        <w:rPr>
          <w:b/>
        </w:rPr>
        <w:t xml:space="preserve">Uitvoering van de beslissingen van de </w:t>
      </w:r>
      <w:r w:rsidR="00F6225B">
        <w:rPr>
          <w:b/>
        </w:rPr>
        <w:t>g</w:t>
      </w:r>
      <w:r w:rsidRPr="00FD2F3A">
        <w:rPr>
          <w:b/>
        </w:rPr>
        <w:t>eschillencommissie</w:t>
      </w:r>
    </w:p>
    <w:p w:rsidR="00305547" w:rsidRPr="00FD2F3A" w:rsidRDefault="004165A7" w:rsidP="00305547">
      <w:pPr>
        <w:jc w:val="center"/>
        <w:rPr>
          <w:u w:val="single"/>
        </w:rPr>
      </w:pPr>
      <w:r w:rsidRPr="00FD2F3A">
        <w:rPr>
          <w:u w:val="single"/>
        </w:rPr>
        <w:t>P</w:t>
      </w:r>
      <w:r w:rsidR="00305547" w:rsidRPr="00FD2F3A">
        <w:rPr>
          <w:u w:val="single"/>
        </w:rPr>
        <w:t>rocedure</w:t>
      </w:r>
    </w:p>
    <w:p w:rsidR="00305547" w:rsidRPr="00FD2F3A" w:rsidRDefault="00305547">
      <w:pPr>
        <w:rPr>
          <w:b/>
        </w:rPr>
      </w:pPr>
      <w:r w:rsidRPr="00FD2F3A">
        <w:rPr>
          <w:b/>
        </w:rPr>
        <w:t xml:space="preserve">1.  </w:t>
      </w:r>
      <w:r w:rsidRPr="00FD2F3A">
        <w:rPr>
          <w:b/>
          <w:u w:val="single"/>
        </w:rPr>
        <w:t>Decretale bepalingen</w:t>
      </w:r>
      <w:r w:rsidR="00DF73D5" w:rsidRPr="00FD2F3A">
        <w:rPr>
          <w:b/>
          <w:u w:val="single"/>
        </w:rPr>
        <w:br/>
      </w:r>
    </w:p>
    <w:p w:rsidR="00305547" w:rsidRPr="00FD2F3A" w:rsidRDefault="00305547">
      <w:pPr>
        <w:rPr>
          <w:u w:val="single"/>
        </w:rPr>
      </w:pPr>
      <w:r w:rsidRPr="00FD2F3A">
        <w:rPr>
          <w:u w:val="single"/>
        </w:rPr>
        <w:t>Artike</w:t>
      </w:r>
      <w:r w:rsidR="00BD49C2">
        <w:rPr>
          <w:u w:val="single"/>
        </w:rPr>
        <w:t>l</w:t>
      </w:r>
      <w:r w:rsidR="00FD2F3A">
        <w:rPr>
          <w:u w:val="single"/>
        </w:rPr>
        <w:t xml:space="preserve"> </w:t>
      </w:r>
      <w:r w:rsidRPr="00FD2F3A">
        <w:rPr>
          <w:u w:val="single"/>
        </w:rPr>
        <w:t>l</w:t>
      </w:r>
      <w:r w:rsidR="00AD1090" w:rsidRPr="00FD2F3A">
        <w:rPr>
          <w:u w:val="single"/>
        </w:rPr>
        <w:t>112</w:t>
      </w:r>
      <w:r w:rsidRPr="00FD2F3A">
        <w:rPr>
          <w:u w:val="single"/>
        </w:rPr>
        <w:t>, § 2 van het decreet van 27 april 2018</w:t>
      </w:r>
    </w:p>
    <w:p w:rsidR="00305547" w:rsidRPr="00FD2F3A" w:rsidRDefault="00305547">
      <w:pPr>
        <w:rPr>
          <w:i/>
        </w:rPr>
      </w:pPr>
      <w:r w:rsidRPr="00FD2F3A">
        <w:rPr>
          <w:i/>
        </w:rPr>
        <w:t xml:space="preserve">De beslissing van de geschillencommissie is uitvoerbaar. De uitbetalingsactor waarvan de beslissing door de geschillencommissie is hervormd, </w:t>
      </w:r>
      <w:r w:rsidRPr="00FD2F3A">
        <w:rPr>
          <w:i/>
          <w:u w:val="single"/>
        </w:rPr>
        <w:t>geeft binnen 10 werkdagen</w:t>
      </w:r>
      <w:r w:rsidRPr="00FD2F3A">
        <w:rPr>
          <w:i/>
        </w:rPr>
        <w:t xml:space="preserve"> na </w:t>
      </w:r>
      <w:r w:rsidR="00AD1090" w:rsidRPr="00FD2F3A">
        <w:rPr>
          <w:i/>
        </w:rPr>
        <w:t xml:space="preserve">de </w:t>
      </w:r>
      <w:r w:rsidRPr="00FD2F3A">
        <w:rPr>
          <w:i/>
        </w:rPr>
        <w:t xml:space="preserve">kennisgeving ervan uitvoering aan </w:t>
      </w:r>
      <w:r w:rsidR="00682A01" w:rsidRPr="00FD2F3A">
        <w:rPr>
          <w:i/>
        </w:rPr>
        <w:t xml:space="preserve">de </w:t>
      </w:r>
      <w:r w:rsidRPr="00FD2F3A">
        <w:rPr>
          <w:i/>
        </w:rPr>
        <w:t>beslissing van de geschillencommissie.</w:t>
      </w:r>
    </w:p>
    <w:p w:rsidR="00305547" w:rsidRPr="00FD2F3A" w:rsidRDefault="00305547">
      <w:pPr>
        <w:rPr>
          <w:u w:val="single"/>
        </w:rPr>
      </w:pPr>
      <w:r w:rsidRPr="00FD2F3A">
        <w:rPr>
          <w:u w:val="single"/>
        </w:rPr>
        <w:t xml:space="preserve">Artikel 115, § 1 </w:t>
      </w:r>
      <w:r w:rsidR="00AD1090" w:rsidRPr="00FD2F3A">
        <w:rPr>
          <w:u w:val="single"/>
        </w:rPr>
        <w:t xml:space="preserve">van </w:t>
      </w:r>
      <w:r w:rsidRPr="00FD2F3A">
        <w:rPr>
          <w:u w:val="single"/>
        </w:rPr>
        <w:t>het decreet van 27 april 2018</w:t>
      </w:r>
    </w:p>
    <w:p w:rsidR="00305547" w:rsidRPr="00FD2F3A" w:rsidRDefault="00305547">
      <w:pPr>
        <w:rPr>
          <w:i/>
        </w:rPr>
      </w:pPr>
      <w:r w:rsidRPr="00FD2F3A">
        <w:rPr>
          <w:i/>
        </w:rPr>
        <w:t>Een partij bij een geschil waarover de geschillencommissie heeft geoordeeld, kan</w:t>
      </w:r>
      <w:r w:rsidR="00AD1090" w:rsidRPr="00FD2F3A">
        <w:rPr>
          <w:i/>
        </w:rPr>
        <w:t>,</w:t>
      </w:r>
      <w:r w:rsidRPr="00FD2F3A">
        <w:rPr>
          <w:i/>
        </w:rPr>
        <w:t xml:space="preserve"> op straffe van verval, </w:t>
      </w:r>
      <w:r w:rsidRPr="00FD2F3A">
        <w:rPr>
          <w:i/>
          <w:u w:val="single"/>
        </w:rPr>
        <w:t>binnen de drie maanden</w:t>
      </w:r>
      <w:r w:rsidRPr="00FD2F3A">
        <w:rPr>
          <w:i/>
        </w:rPr>
        <w:t xml:space="preserve"> na de kennisgeving van de beslissing van de geschillencommissie beroep instellen bij de bevoegde rechtbank.  Kind en Gezin wordt aangewezen als verwerende partij.</w:t>
      </w:r>
    </w:p>
    <w:p w:rsidR="006D39BB" w:rsidRPr="00FD2F3A" w:rsidRDefault="006D39BB">
      <w:pPr>
        <w:rPr>
          <w:u w:val="single"/>
        </w:rPr>
      </w:pPr>
      <w:r w:rsidRPr="00FD2F3A">
        <w:rPr>
          <w:u w:val="single"/>
        </w:rPr>
        <w:t>Artikel 5, 5° van het decreet van 7 juli 2017 tot oprichting van het VUTG</w:t>
      </w:r>
    </w:p>
    <w:p w:rsidR="006D39BB" w:rsidRPr="00FD2F3A" w:rsidRDefault="006D39BB">
      <w:pPr>
        <w:rPr>
          <w:i/>
        </w:rPr>
      </w:pPr>
      <w:r w:rsidRPr="00FD2F3A">
        <w:rPr>
          <w:i/>
        </w:rPr>
        <w:t>De missie van het VUTG bestaat o.a. in het toezicht houden op de naleving van de regels voor de toekenning van de toelagen in het kader van het gezins</w:t>
      </w:r>
      <w:r w:rsidR="003047C1" w:rsidRPr="00FD2F3A">
        <w:rPr>
          <w:i/>
        </w:rPr>
        <w:t>beleid</w:t>
      </w:r>
      <w:r w:rsidR="0092777A" w:rsidRPr="00FD2F3A">
        <w:rPr>
          <w:i/>
        </w:rPr>
        <w:t>.</w:t>
      </w:r>
    </w:p>
    <w:p w:rsidR="00E34D6B" w:rsidRPr="00FD2F3A" w:rsidRDefault="00E34D6B">
      <w:pPr>
        <w:rPr>
          <w:b/>
        </w:rPr>
      </w:pPr>
      <w:r w:rsidRPr="00FD2F3A">
        <w:rPr>
          <w:b/>
        </w:rPr>
        <w:t xml:space="preserve">2.  </w:t>
      </w:r>
      <w:r w:rsidR="003C5633" w:rsidRPr="00FD2F3A">
        <w:rPr>
          <w:b/>
          <w:u w:val="single"/>
        </w:rPr>
        <w:t>P</w:t>
      </w:r>
      <w:r w:rsidRPr="00FD2F3A">
        <w:rPr>
          <w:b/>
          <w:u w:val="single"/>
        </w:rPr>
        <w:t xml:space="preserve">rocedure voor uitvoering van de beslissingen van de </w:t>
      </w:r>
      <w:r w:rsidR="00F6225B">
        <w:rPr>
          <w:b/>
          <w:u w:val="single"/>
        </w:rPr>
        <w:t>g</w:t>
      </w:r>
      <w:r w:rsidRPr="00FD2F3A">
        <w:rPr>
          <w:b/>
          <w:u w:val="single"/>
        </w:rPr>
        <w:t>eschillencommissie</w:t>
      </w:r>
      <w:r w:rsidR="00DF73D5" w:rsidRPr="00FD2F3A">
        <w:rPr>
          <w:b/>
          <w:u w:val="single"/>
        </w:rPr>
        <w:br/>
      </w:r>
    </w:p>
    <w:p w:rsidR="00E34D6B" w:rsidRPr="00FD2F3A" w:rsidRDefault="00E34D6B">
      <w:pPr>
        <w:rPr>
          <w:u w:val="single"/>
        </w:rPr>
      </w:pPr>
      <w:r w:rsidRPr="00FD2F3A">
        <w:rPr>
          <w:u w:val="single"/>
        </w:rPr>
        <w:t>Stappenplan</w:t>
      </w:r>
    </w:p>
    <w:p w:rsidR="000F75CC" w:rsidRDefault="00E34D6B" w:rsidP="000F75CC">
      <w:pPr>
        <w:pStyle w:val="Lijstalinea"/>
        <w:numPr>
          <w:ilvl w:val="0"/>
          <w:numId w:val="5"/>
        </w:numPr>
        <w:ind w:left="284" w:hanging="284"/>
      </w:pPr>
      <w:r w:rsidRPr="00FD2F3A">
        <w:t>Het VUTG/</w:t>
      </w:r>
      <w:r w:rsidR="00637989" w:rsidRPr="00FD2F3A">
        <w:t xml:space="preserve">de </w:t>
      </w:r>
      <w:r w:rsidRPr="00FD2F3A">
        <w:t xml:space="preserve">uitbetalingsactor (UA) ontvangt </w:t>
      </w:r>
      <w:r w:rsidR="002E60F9">
        <w:t xml:space="preserve">een origineel exemplaar van </w:t>
      </w:r>
      <w:r w:rsidRPr="00FD2F3A">
        <w:t xml:space="preserve">de beslissing van de </w:t>
      </w:r>
      <w:r w:rsidR="00F6225B">
        <w:t>g</w:t>
      </w:r>
      <w:r w:rsidRPr="00FD2F3A">
        <w:t>eschillencommissie met een aangetekend</w:t>
      </w:r>
      <w:r w:rsidR="00637989" w:rsidRPr="00FD2F3A">
        <w:t>e</w:t>
      </w:r>
      <w:r w:rsidRPr="00FD2F3A">
        <w:t xml:space="preserve"> brief</w:t>
      </w:r>
      <w:r w:rsidR="002E60F9">
        <w:t xml:space="preserve"> vanwege het secretariaat van de </w:t>
      </w:r>
      <w:r w:rsidR="00F6225B">
        <w:t>g</w:t>
      </w:r>
      <w:r w:rsidR="002E60F9">
        <w:t>eschillencommissie</w:t>
      </w:r>
      <w:r w:rsidRPr="00FD2F3A">
        <w:t>.</w:t>
      </w:r>
      <w:r w:rsidR="006D39BB" w:rsidRPr="00FD2F3A">
        <w:t xml:space="preserve">  </w:t>
      </w:r>
      <w:r w:rsidR="000F75CC" w:rsidRPr="000F75CC">
        <w:rPr>
          <w:rFonts w:eastAsia="Times New Roman"/>
        </w:rPr>
        <w:t xml:space="preserve">Het secretariaat van de </w:t>
      </w:r>
      <w:r w:rsidR="00F6225B">
        <w:rPr>
          <w:rFonts w:eastAsia="Times New Roman"/>
        </w:rPr>
        <w:t>g</w:t>
      </w:r>
      <w:r w:rsidR="000F75CC" w:rsidRPr="000F75CC">
        <w:rPr>
          <w:rFonts w:eastAsia="Times New Roman"/>
        </w:rPr>
        <w:t xml:space="preserve">eschillencommissie stuurt </w:t>
      </w:r>
      <w:r w:rsidR="00A64BC3">
        <w:rPr>
          <w:rFonts w:eastAsia="Times New Roman"/>
        </w:rPr>
        <w:t>tevens meteen</w:t>
      </w:r>
      <w:r w:rsidR="000F75CC">
        <w:rPr>
          <w:rFonts w:eastAsia="Times New Roman"/>
        </w:rPr>
        <w:t xml:space="preserve"> </w:t>
      </w:r>
      <w:r w:rsidR="000F75CC" w:rsidRPr="000F75CC">
        <w:rPr>
          <w:rFonts w:eastAsia="Times New Roman"/>
        </w:rPr>
        <w:t>een gescande versie van de beslissing via e-mail naar de uitbetalingsactor (versleuteld via 7-zip)</w:t>
      </w:r>
      <w:r w:rsidR="00A64BC3">
        <w:rPr>
          <w:rFonts w:eastAsia="Times New Roman"/>
        </w:rPr>
        <w:t xml:space="preserve"> met het oog op een spoedige uitvoering van de beslissing</w:t>
      </w:r>
      <w:r w:rsidR="000F75CC" w:rsidRPr="000F75CC">
        <w:rPr>
          <w:rFonts w:eastAsia="Times New Roman"/>
        </w:rPr>
        <w:t>.</w:t>
      </w:r>
      <w:r w:rsidR="000F75CC" w:rsidRPr="000F75CC">
        <w:t xml:space="preserve"> </w:t>
      </w:r>
      <w:r w:rsidR="00355694">
        <w:t xml:space="preserve"> De uitbetalingsactor zal de nodige instructies ontvangen van het secretariaat om het versleutelde bestand te openen.</w:t>
      </w:r>
      <w:r w:rsidR="000F75CC">
        <w:br/>
      </w:r>
    </w:p>
    <w:p w:rsidR="00E34D6B" w:rsidRPr="00FD2F3A" w:rsidRDefault="004165A7" w:rsidP="007D21B0">
      <w:pPr>
        <w:pStyle w:val="Lijstalinea"/>
        <w:numPr>
          <w:ilvl w:val="0"/>
          <w:numId w:val="1"/>
        </w:numPr>
        <w:ind w:left="284" w:hanging="284"/>
      </w:pPr>
      <w:r w:rsidRPr="00FD2F3A">
        <w:t xml:space="preserve">Nadat de partijen op de hoogte werden gebracht, zullen de beslissingen geanonimiseerd worden en op de website van Kind en Gezin gepubliceerd.  </w:t>
      </w:r>
      <w:r w:rsidR="006D39BB" w:rsidRPr="00FD2F3A">
        <w:t xml:space="preserve">De juridische dienst van </w:t>
      </w:r>
      <w:r w:rsidR="003047C1" w:rsidRPr="00FD2F3A">
        <w:t>het VUTG</w:t>
      </w:r>
      <w:r w:rsidRPr="00FD2F3A">
        <w:t xml:space="preserve"> wordt telkens van deze publicatie per e-mail verwittigd</w:t>
      </w:r>
      <w:r w:rsidR="00E50D4D" w:rsidRPr="00FD2F3A">
        <w:t xml:space="preserve"> door het secretariaat van de </w:t>
      </w:r>
      <w:r w:rsidR="00F6225B">
        <w:t>g</w:t>
      </w:r>
      <w:r w:rsidR="00E50D4D" w:rsidRPr="00FD2F3A">
        <w:t>eschillencommissie</w:t>
      </w:r>
      <w:r w:rsidRPr="00FD2F3A">
        <w:t xml:space="preserve">, </w:t>
      </w:r>
      <w:r w:rsidR="00DF73D5" w:rsidRPr="00FD2F3A">
        <w:t>met</w:t>
      </w:r>
      <w:r w:rsidR="006D39BB" w:rsidRPr="00FD2F3A">
        <w:t xml:space="preserve"> het oog op </w:t>
      </w:r>
      <w:r w:rsidR="003C6D62" w:rsidRPr="00FD2F3A">
        <w:t>een</w:t>
      </w:r>
      <w:r w:rsidR="006D39BB" w:rsidRPr="00FD2F3A">
        <w:t xml:space="preserve"> </w:t>
      </w:r>
      <w:r w:rsidR="00DF73D5" w:rsidRPr="00FD2F3A">
        <w:t xml:space="preserve">permanente </w:t>
      </w:r>
      <w:r w:rsidR="006D39BB" w:rsidRPr="00FD2F3A">
        <w:t>evaluatie van de administratieve richtlijnen. Binnen het VUTG wordt de beslissing ook onmiddellijk overgemaakt aan de 3 directieleden van FONS.</w:t>
      </w:r>
      <w:r w:rsidR="006D39BB" w:rsidRPr="00FD2F3A">
        <w:br/>
      </w:r>
    </w:p>
    <w:p w:rsidR="007D21B0" w:rsidRPr="00FD2F3A" w:rsidRDefault="007D21B0" w:rsidP="005B65A2">
      <w:pPr>
        <w:pStyle w:val="Lijstalinea"/>
        <w:numPr>
          <w:ilvl w:val="0"/>
          <w:numId w:val="1"/>
        </w:numPr>
        <w:ind w:left="284" w:hanging="284"/>
      </w:pPr>
      <w:r w:rsidRPr="00FD2F3A">
        <w:t xml:space="preserve">De 5 </w:t>
      </w:r>
      <w:r w:rsidR="00E34D6B" w:rsidRPr="00FD2F3A">
        <w:t>UA</w:t>
      </w:r>
      <w:r w:rsidR="005B65A2" w:rsidRPr="00FD2F3A">
        <w:t>’</w:t>
      </w:r>
      <w:r w:rsidRPr="00FD2F3A">
        <w:t>s</w:t>
      </w:r>
      <w:r w:rsidR="005B65A2" w:rsidRPr="00FD2F3A">
        <w:t xml:space="preserve"> doen het nodige om de beslissingen binnen de 10 werkdagen uit te voeren.  </w:t>
      </w:r>
      <w:r w:rsidR="003C6D62" w:rsidRPr="00FD2F3A">
        <w:t xml:space="preserve">Beslist de uitbetalingsactor </w:t>
      </w:r>
      <w:r w:rsidR="005B65A2" w:rsidRPr="00FD2F3A">
        <w:t>echter om in beroep te gaan</w:t>
      </w:r>
      <w:r w:rsidR="004165A7" w:rsidRPr="00FD2F3A">
        <w:t xml:space="preserve">, dan </w:t>
      </w:r>
      <w:r w:rsidR="006F13D3" w:rsidRPr="00FD2F3A">
        <w:t>wordt hij gevraagd</w:t>
      </w:r>
      <w:r w:rsidR="004165A7" w:rsidRPr="00FD2F3A">
        <w:t xml:space="preserve"> daar vooraf over te overleggen met </w:t>
      </w:r>
      <w:r w:rsidR="005B65A2" w:rsidRPr="00FD2F3A">
        <w:t xml:space="preserve">Kind en Gezin, </w:t>
      </w:r>
      <w:r w:rsidR="004165A7" w:rsidRPr="00FD2F3A">
        <w:t xml:space="preserve">te contacteren via </w:t>
      </w:r>
      <w:r w:rsidR="005B65A2" w:rsidRPr="00FD2F3A">
        <w:t xml:space="preserve">het secretariaat van de </w:t>
      </w:r>
      <w:r w:rsidR="00F6225B">
        <w:t>g</w:t>
      </w:r>
      <w:r w:rsidR="005B65A2" w:rsidRPr="00FD2F3A">
        <w:t>eschillencommissie</w:t>
      </w:r>
      <w:r w:rsidR="00E50D4D" w:rsidRPr="00FD2F3A">
        <w:t xml:space="preserve"> </w:t>
      </w:r>
      <w:r w:rsidR="007D44E6">
        <w:br/>
      </w:r>
      <w:r w:rsidR="00E50D4D" w:rsidRPr="00FD2F3A">
        <w:t xml:space="preserve">(e-mail gericht aan </w:t>
      </w:r>
      <w:hyperlink r:id="rId7" w:history="1">
        <w:r w:rsidR="00E50D4D" w:rsidRPr="00FD2F3A">
          <w:rPr>
            <w:rStyle w:val="Hyperlink"/>
          </w:rPr>
          <w:t>geschillencommissie@kindengezin.be</w:t>
        </w:r>
      </w:hyperlink>
      <w:r w:rsidR="00E50D4D" w:rsidRPr="00FD2F3A">
        <w:t xml:space="preserve"> )</w:t>
      </w:r>
      <w:r w:rsidR="005B65A2" w:rsidRPr="00FD2F3A">
        <w:t>.</w:t>
      </w:r>
    </w:p>
    <w:p w:rsidR="003C6D62" w:rsidRPr="00FD2F3A" w:rsidRDefault="005B65A2" w:rsidP="003C6D62">
      <w:pPr>
        <w:pStyle w:val="Lijstalinea"/>
        <w:ind w:left="284"/>
      </w:pPr>
      <w:r w:rsidRPr="00FD2F3A">
        <w:t>De UA’s dienen een overzicht bij te houden van de ontvangen beslissingen en de uitgevoerde regularisatie</w:t>
      </w:r>
      <w:r w:rsidR="003C6D62" w:rsidRPr="00FD2F3A">
        <w:t>s</w:t>
      </w:r>
      <w:r w:rsidRPr="00FD2F3A">
        <w:t xml:space="preserve">, </w:t>
      </w:r>
      <w:r w:rsidR="001A7812" w:rsidRPr="00FD2F3A">
        <w:t>en houd</w:t>
      </w:r>
      <w:r w:rsidR="00E50D4D" w:rsidRPr="00FD2F3A">
        <w:t>en</w:t>
      </w:r>
      <w:r w:rsidR="001A7812" w:rsidRPr="00FD2F3A">
        <w:t xml:space="preserve"> die ter beschikking van</w:t>
      </w:r>
      <w:r w:rsidRPr="00FD2F3A">
        <w:t xml:space="preserve"> </w:t>
      </w:r>
      <w:r w:rsidR="0092777A" w:rsidRPr="00FD2F3A">
        <w:t xml:space="preserve">het </w:t>
      </w:r>
      <w:r w:rsidRPr="00FD2F3A">
        <w:t>VUTG</w:t>
      </w:r>
      <w:r w:rsidR="001A7812" w:rsidRPr="00FD2F3A">
        <w:t>, zodat die</w:t>
      </w:r>
      <w:r w:rsidRPr="00FD2F3A">
        <w:t xml:space="preserve"> desgevallend steekproefsgewijs</w:t>
      </w:r>
      <w:r w:rsidR="00DF73D5" w:rsidRPr="00FD2F3A">
        <w:t xml:space="preserve"> kan nagaan of de beslissingen tijdig en correct werden uitgevoerd.</w:t>
      </w:r>
      <w:r w:rsidRPr="00FD2F3A">
        <w:t xml:space="preserve"> </w:t>
      </w:r>
      <w:r w:rsidR="00DF73D5" w:rsidRPr="00FD2F3A">
        <w:br/>
      </w:r>
    </w:p>
    <w:p w:rsidR="00A578B2" w:rsidRPr="00FD2F3A" w:rsidRDefault="00A578B2" w:rsidP="005B65A2">
      <w:pPr>
        <w:pStyle w:val="Lijstalinea"/>
        <w:numPr>
          <w:ilvl w:val="0"/>
          <w:numId w:val="1"/>
        </w:numPr>
        <w:ind w:left="284" w:hanging="284"/>
      </w:pPr>
      <w:r w:rsidRPr="00FD2F3A">
        <w:lastRenderedPageBreak/>
        <w:t>De directie van de UA</w:t>
      </w:r>
      <w:r w:rsidR="003C5633" w:rsidRPr="00FD2F3A">
        <w:t xml:space="preserve">/FONS </w:t>
      </w:r>
      <w:r w:rsidRPr="00FD2F3A">
        <w:t>volgt de naleving van de termijnen op.</w:t>
      </w:r>
      <w:r w:rsidR="005B65A2" w:rsidRPr="00FD2F3A">
        <w:br/>
      </w:r>
    </w:p>
    <w:p w:rsidR="0017120E" w:rsidRPr="00FD2F3A" w:rsidRDefault="0017120E" w:rsidP="005B65A2">
      <w:pPr>
        <w:pStyle w:val="Lijstalinea"/>
        <w:numPr>
          <w:ilvl w:val="0"/>
          <w:numId w:val="1"/>
        </w:numPr>
        <w:ind w:left="284" w:hanging="284"/>
      </w:pPr>
      <w:r w:rsidRPr="00FD2F3A">
        <w:t>De beslissing maakt deel uit van de toekenningsgegevens en wordt in het dossier geklasseerd.</w:t>
      </w:r>
      <w:r w:rsidR="005B65A2" w:rsidRPr="00FD2F3A">
        <w:br/>
      </w:r>
    </w:p>
    <w:p w:rsidR="001A7812" w:rsidRPr="00FD2F3A" w:rsidRDefault="001A7812" w:rsidP="005B65A2">
      <w:pPr>
        <w:pStyle w:val="Lijstalinea"/>
        <w:numPr>
          <w:ilvl w:val="0"/>
          <w:numId w:val="1"/>
        </w:numPr>
        <w:ind w:left="284" w:hanging="284"/>
      </w:pPr>
      <w:r w:rsidRPr="00FD2F3A">
        <w:t xml:space="preserve">De </w:t>
      </w:r>
      <w:r w:rsidR="00F6225B">
        <w:t>g</w:t>
      </w:r>
      <w:r w:rsidRPr="00FD2F3A">
        <w:t>eschillencommissie voorziet in een jaarrapportering met aanbevelingen</w:t>
      </w:r>
      <w:r w:rsidR="004165A7" w:rsidRPr="00FD2F3A">
        <w:t>, o.a. met het oog op de borging van de reglementering</w:t>
      </w:r>
      <w:r w:rsidRPr="00FD2F3A">
        <w:t>.</w:t>
      </w:r>
    </w:p>
    <w:p w:rsidR="00E34D6B" w:rsidRDefault="00D1590A" w:rsidP="00D1590A">
      <w:pPr>
        <w:jc w:val="center"/>
      </w:pPr>
      <w:r w:rsidRPr="00FD2F3A">
        <w:t>-----------------------------------------------------------</w:t>
      </w:r>
    </w:p>
    <w:sectPr w:rsidR="00E34D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BCD" w:rsidRDefault="00294BCD" w:rsidP="00294BCD">
      <w:pPr>
        <w:spacing w:after="0" w:line="240" w:lineRule="auto"/>
      </w:pPr>
      <w:r>
        <w:separator/>
      </w:r>
    </w:p>
  </w:endnote>
  <w:endnote w:type="continuationSeparator" w:id="0">
    <w:p w:rsidR="00294BCD" w:rsidRDefault="00294BCD" w:rsidP="0029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6921586"/>
      <w:docPartObj>
        <w:docPartGallery w:val="Page Numbers (Bottom of Page)"/>
        <w:docPartUnique/>
      </w:docPartObj>
    </w:sdtPr>
    <w:sdtEndPr/>
    <w:sdtContent>
      <w:p w:rsidR="00294BCD" w:rsidRDefault="00294BC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:rsidR="00294BCD" w:rsidRDefault="00294B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BCD" w:rsidRDefault="00294BCD" w:rsidP="00294BCD">
      <w:pPr>
        <w:spacing w:after="0" w:line="240" w:lineRule="auto"/>
      </w:pPr>
      <w:r>
        <w:separator/>
      </w:r>
    </w:p>
  </w:footnote>
  <w:footnote w:type="continuationSeparator" w:id="0">
    <w:p w:rsidR="00294BCD" w:rsidRDefault="00294BCD" w:rsidP="0029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BCD" w:rsidRPr="00294BCD" w:rsidRDefault="00294BCD" w:rsidP="00294BCD">
    <w:pPr>
      <w:pStyle w:val="Koptekst"/>
      <w:jc w:val="right"/>
      <w:rPr>
        <w:rFonts w:ascii="Times New Roman" w:hAnsi="Times New Roman" w:cs="Times New Roman"/>
        <w:sz w:val="20"/>
        <w:szCs w:val="20"/>
      </w:rPr>
    </w:pPr>
    <w:r w:rsidRPr="00294BCD">
      <w:rPr>
        <w:rFonts w:ascii="Times New Roman" w:hAnsi="Times New Roman" w:cs="Times New Roman"/>
        <w:sz w:val="20"/>
        <w:szCs w:val="20"/>
      </w:rPr>
      <w:t>Bijlage bij mededeling A/</w:t>
    </w:r>
    <w:r w:rsidR="00F6225B">
      <w:rPr>
        <w:rFonts w:ascii="Times New Roman" w:hAnsi="Times New Roman" w:cs="Times New Roman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3699"/>
    <w:multiLevelType w:val="hybridMultilevel"/>
    <w:tmpl w:val="6DCA6AE2"/>
    <w:lvl w:ilvl="0" w:tplc="37ECE4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71C4F"/>
    <w:multiLevelType w:val="hybridMultilevel"/>
    <w:tmpl w:val="865E38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53228"/>
    <w:multiLevelType w:val="hybridMultilevel"/>
    <w:tmpl w:val="E18E93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02AC4"/>
    <w:multiLevelType w:val="hybridMultilevel"/>
    <w:tmpl w:val="1840D2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47"/>
    <w:rsid w:val="00097DE0"/>
    <w:rsid w:val="000F75CC"/>
    <w:rsid w:val="0017120E"/>
    <w:rsid w:val="001A2577"/>
    <w:rsid w:val="001A7812"/>
    <w:rsid w:val="00294BCD"/>
    <w:rsid w:val="00296707"/>
    <w:rsid w:val="002E60F9"/>
    <w:rsid w:val="003047C1"/>
    <w:rsid w:val="00305547"/>
    <w:rsid w:val="00355694"/>
    <w:rsid w:val="003C5633"/>
    <w:rsid w:val="003C6D62"/>
    <w:rsid w:val="004165A7"/>
    <w:rsid w:val="004674CC"/>
    <w:rsid w:val="005B65A2"/>
    <w:rsid w:val="00637989"/>
    <w:rsid w:val="00682A01"/>
    <w:rsid w:val="006D39BB"/>
    <w:rsid w:val="006F13D3"/>
    <w:rsid w:val="007D21B0"/>
    <w:rsid w:val="007D44E6"/>
    <w:rsid w:val="0092777A"/>
    <w:rsid w:val="00A578B2"/>
    <w:rsid w:val="00A64BC3"/>
    <w:rsid w:val="00AD1090"/>
    <w:rsid w:val="00B2013F"/>
    <w:rsid w:val="00BD49C2"/>
    <w:rsid w:val="00D1590A"/>
    <w:rsid w:val="00DF73D5"/>
    <w:rsid w:val="00E34D6B"/>
    <w:rsid w:val="00E50D4D"/>
    <w:rsid w:val="00ED5AE1"/>
    <w:rsid w:val="00EE1B28"/>
    <w:rsid w:val="00F27E6F"/>
    <w:rsid w:val="00F312E1"/>
    <w:rsid w:val="00F6225B"/>
    <w:rsid w:val="00FD2F3A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87203-4DC3-425E-ACC6-CE37F118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554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0D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0D4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257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9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4BCD"/>
  </w:style>
  <w:style w:type="paragraph" w:styleId="Voettekst">
    <w:name w:val="footer"/>
    <w:basedOn w:val="Standaard"/>
    <w:link w:val="VoettekstChar"/>
    <w:uiPriority w:val="99"/>
    <w:unhideWhenUsed/>
    <w:rsid w:val="0029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schillencommissie@kindengezi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Bogaert</dc:creator>
  <cp:keywords/>
  <dc:description/>
  <cp:lastModifiedBy>Jurgen Poels</cp:lastModifiedBy>
  <cp:revision>2</cp:revision>
  <cp:lastPrinted>2019-05-13T07:50:00Z</cp:lastPrinted>
  <dcterms:created xsi:type="dcterms:W3CDTF">2019-05-31T06:46:00Z</dcterms:created>
  <dcterms:modified xsi:type="dcterms:W3CDTF">2019-05-31T06:46:00Z</dcterms:modified>
</cp:coreProperties>
</file>